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73BE" w:rsidRDefault="00D873BE" w:rsidP="00D873BE">
      <w:r>
        <w:rPr>
          <w:noProof/>
        </w:rPr>
        <w:drawing>
          <wp:inline distT="0" distB="0" distL="0" distR="0">
            <wp:extent cx="5486400" cy="3657600"/>
            <wp:effectExtent l="19050" t="0" r="0" b="0"/>
            <wp:docPr id="231" name="Picture 231" descr="p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page11"/>
                    <pic:cNvPicPr>
                      <a:picLocks noChangeAspect="1" noChangeArrowheads="1"/>
                    </pic:cNvPicPr>
                  </pic:nvPicPr>
                  <pic:blipFill>
                    <a:blip r:embed="rId4"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D873BE" w:rsidRDefault="00D873BE" w:rsidP="00D873BE"/>
    <w:p w:rsidR="00D873BE" w:rsidRPr="006F5F70" w:rsidRDefault="00D873BE" w:rsidP="00D873BE">
      <w:pPr>
        <w:rPr>
          <w:b/>
        </w:rPr>
      </w:pPr>
      <w:r w:rsidRPr="006F5F70">
        <w:rPr>
          <w:b/>
        </w:rPr>
        <w:t xml:space="preserve">MITOCHONDRIAL </w:t>
      </w:r>
      <w:smartTag w:uri="urn:schemas-microsoft-com:office:smarttags" w:element="stockticker">
        <w:r w:rsidRPr="006F5F70">
          <w:rPr>
            <w:b/>
          </w:rPr>
          <w:t>DNA</w:t>
        </w:r>
      </w:smartTag>
      <w:r w:rsidRPr="006F5F70">
        <w:rPr>
          <w:b/>
        </w:rPr>
        <w:t xml:space="preserve"> </w:t>
      </w:r>
    </w:p>
    <w:p w:rsidR="00D873BE" w:rsidRDefault="00D873BE" w:rsidP="00D873BE">
      <w:proofErr w:type="gramStart"/>
      <w:r>
        <w:t>Mitochondrion in a snake adrenal cortex.</w:t>
      </w:r>
      <w:proofErr w:type="gramEnd"/>
      <w:r>
        <w:t xml:space="preserve"> Short segments of the </w:t>
      </w:r>
      <w:smartTag w:uri="urn:schemas-microsoft-com:office:smarttags" w:element="stockticker">
        <w:r>
          <w:t>DNA</w:t>
        </w:r>
      </w:smartTag>
      <w:r>
        <w:t xml:space="preserve"> (arrows) can be identified between the numerous tubular </w:t>
      </w:r>
      <w:proofErr w:type="spellStart"/>
      <w:r>
        <w:t>cristae</w:t>
      </w:r>
      <w:proofErr w:type="spellEnd"/>
      <w:r>
        <w:t xml:space="preserve">. The mitochondrion is adjacent to the highly ordered array of endoplasmic reticulum.        Fawcett, </w:t>
      </w:r>
      <w:proofErr w:type="gramStart"/>
      <w:r w:rsidRPr="003C6A9D">
        <w:rPr>
          <w:u w:val="single"/>
        </w:rPr>
        <w:t>The</w:t>
      </w:r>
      <w:proofErr w:type="gramEnd"/>
      <w:r w:rsidRPr="003C6A9D">
        <w:rPr>
          <w:u w:val="single"/>
        </w:rPr>
        <w:t xml:space="preserve"> Cell</w:t>
      </w:r>
      <w:r>
        <w:t xml:space="preserve"> 1981</w:t>
      </w:r>
      <w:r>
        <w:br w:type="page"/>
      </w:r>
      <w:r>
        <w:rPr>
          <w:noProof/>
        </w:rPr>
        <w:lastRenderedPageBreak/>
        <w:drawing>
          <wp:inline distT="0" distB="0" distL="0" distR="0">
            <wp:extent cx="5486400" cy="3657600"/>
            <wp:effectExtent l="19050" t="0" r="0" b="0"/>
            <wp:docPr id="232" name="Picture 232" descr="p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page12"/>
                    <pic:cNvPicPr>
                      <a:picLocks noChangeAspect="1" noChangeArrowheads="1"/>
                    </pic:cNvPicPr>
                  </pic:nvPicPr>
                  <pic:blipFill>
                    <a:blip r:embed="rId5"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D873BE" w:rsidRPr="00FE4A83" w:rsidRDefault="00D873BE" w:rsidP="00D873BE">
      <w:pPr>
        <w:rPr>
          <w:b/>
        </w:rPr>
      </w:pPr>
    </w:p>
    <w:p w:rsidR="00D873BE" w:rsidRPr="00FE4A83" w:rsidRDefault="00D873BE" w:rsidP="00D873BE">
      <w:pPr>
        <w:rPr>
          <w:b/>
        </w:rPr>
      </w:pPr>
      <w:r w:rsidRPr="00FE4A83">
        <w:rPr>
          <w:b/>
        </w:rPr>
        <w:t xml:space="preserve">SMOOTH ENDOPLASMIC RETICULUM   </w:t>
      </w:r>
    </w:p>
    <w:p w:rsidR="00D873BE" w:rsidRDefault="00D873BE" w:rsidP="00D873BE">
      <w:proofErr w:type="gramStart"/>
      <w:r>
        <w:t>Tubules of smooth endoplasmic reticulum packs</w:t>
      </w:r>
      <w:proofErr w:type="gramEnd"/>
      <w:r>
        <w:t xml:space="preserve"> the cytoplasm of adrenal cortex cells. At this magnification, note that the geometry of the </w:t>
      </w:r>
      <w:proofErr w:type="spellStart"/>
      <w:r>
        <w:t>sER</w:t>
      </w:r>
      <w:proofErr w:type="spellEnd"/>
      <w:r>
        <w:t xml:space="preserve"> is quite different from that of the </w:t>
      </w:r>
      <w:proofErr w:type="spellStart"/>
      <w:r>
        <w:t>rER</w:t>
      </w:r>
      <w:proofErr w:type="spellEnd"/>
      <w:r>
        <w:t xml:space="preserve">. The tubules are more variable in diameter along their length and they branch and </w:t>
      </w:r>
      <w:proofErr w:type="spellStart"/>
      <w:r>
        <w:t>anastomose</w:t>
      </w:r>
      <w:proofErr w:type="spellEnd"/>
      <w:r>
        <w:t xml:space="preserve"> more frequently to form a very compact, 3-dimensional reticulum. Steroid hydroxylation reactions are localized here. </w:t>
      </w:r>
      <w:proofErr w:type="spellStart"/>
      <w:proofErr w:type="gramStart"/>
      <w:r>
        <w:t>sER</w:t>
      </w:r>
      <w:proofErr w:type="spellEnd"/>
      <w:proofErr w:type="gramEnd"/>
      <w:r>
        <w:t xml:space="preserve"> in the liver is concerned with drug detoxification.      Fawcett, </w:t>
      </w:r>
      <w:proofErr w:type="gramStart"/>
      <w:r w:rsidRPr="003C6A9D">
        <w:rPr>
          <w:u w:val="single"/>
        </w:rPr>
        <w:t>The</w:t>
      </w:r>
      <w:proofErr w:type="gramEnd"/>
      <w:r w:rsidRPr="003C6A9D">
        <w:rPr>
          <w:u w:val="single"/>
        </w:rPr>
        <w:t xml:space="preserve"> Cell</w:t>
      </w:r>
      <w:r>
        <w:t xml:space="preserve"> 1981</w:t>
      </w:r>
      <w:r>
        <w:br w:type="page"/>
      </w:r>
      <w:r>
        <w:rPr>
          <w:noProof/>
        </w:rPr>
        <w:lastRenderedPageBreak/>
        <w:drawing>
          <wp:inline distT="0" distB="0" distL="0" distR="0">
            <wp:extent cx="4686300" cy="3124200"/>
            <wp:effectExtent l="19050" t="0" r="0" b="0"/>
            <wp:docPr id="233" name="Picture 233" descr="p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page13"/>
                    <pic:cNvPicPr>
                      <a:picLocks noChangeAspect="1" noChangeArrowheads="1"/>
                    </pic:cNvPicPr>
                  </pic:nvPicPr>
                  <pic:blipFill>
                    <a:blip r:embed="rId6" cstate="print"/>
                    <a:srcRect/>
                    <a:stretch>
                      <a:fillRect/>
                    </a:stretch>
                  </pic:blipFill>
                  <pic:spPr bwMode="auto">
                    <a:xfrm>
                      <a:off x="0" y="0"/>
                      <a:ext cx="4686300" cy="3124200"/>
                    </a:xfrm>
                    <a:prstGeom prst="rect">
                      <a:avLst/>
                    </a:prstGeom>
                    <a:noFill/>
                    <a:ln w="9525">
                      <a:noFill/>
                      <a:miter lim="800000"/>
                      <a:headEnd/>
                      <a:tailEnd/>
                    </a:ln>
                  </pic:spPr>
                </pic:pic>
              </a:graphicData>
            </a:graphic>
          </wp:inline>
        </w:drawing>
      </w:r>
    </w:p>
    <w:p w:rsidR="00D873BE" w:rsidRDefault="00D873BE" w:rsidP="00D873BE"/>
    <w:p w:rsidR="00D873BE" w:rsidRDefault="00D873BE" w:rsidP="00D873BE">
      <w:pPr>
        <w:ind w:firstLine="720"/>
      </w:pPr>
      <w:r>
        <w:rPr>
          <w:noProof/>
        </w:rPr>
        <w:drawing>
          <wp:inline distT="0" distB="0" distL="0" distR="0">
            <wp:extent cx="4686300" cy="3124200"/>
            <wp:effectExtent l="19050" t="0" r="0" b="0"/>
            <wp:docPr id="234" name="Picture 234" descr="p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page14"/>
                    <pic:cNvPicPr>
                      <a:picLocks noChangeAspect="1" noChangeArrowheads="1"/>
                    </pic:cNvPicPr>
                  </pic:nvPicPr>
                  <pic:blipFill>
                    <a:blip r:embed="rId7" cstate="print"/>
                    <a:srcRect/>
                    <a:stretch>
                      <a:fillRect/>
                    </a:stretch>
                  </pic:blipFill>
                  <pic:spPr bwMode="auto">
                    <a:xfrm>
                      <a:off x="0" y="0"/>
                      <a:ext cx="4686300" cy="3124200"/>
                    </a:xfrm>
                    <a:prstGeom prst="rect">
                      <a:avLst/>
                    </a:prstGeom>
                    <a:noFill/>
                    <a:ln w="9525">
                      <a:noFill/>
                      <a:miter lim="800000"/>
                      <a:headEnd/>
                      <a:tailEnd/>
                    </a:ln>
                  </pic:spPr>
                </pic:pic>
              </a:graphicData>
            </a:graphic>
          </wp:inline>
        </w:drawing>
      </w:r>
    </w:p>
    <w:p w:rsidR="00D873BE" w:rsidRDefault="00D873BE" w:rsidP="00D873BE"/>
    <w:p w:rsidR="00D873BE" w:rsidRPr="007F452F" w:rsidRDefault="00D873BE" w:rsidP="00D873BE">
      <w:pPr>
        <w:rPr>
          <w:b/>
        </w:rPr>
      </w:pPr>
      <w:r w:rsidRPr="007F452F">
        <w:rPr>
          <w:b/>
        </w:rPr>
        <w:t>POLYSOMES</w:t>
      </w:r>
    </w:p>
    <w:p w:rsidR="00D873BE" w:rsidRDefault="00D873BE" w:rsidP="00D873BE">
      <w:r>
        <w:t xml:space="preserve">Upper figure shows numerous free </w:t>
      </w:r>
      <w:proofErr w:type="spellStart"/>
      <w:r>
        <w:t>ribosomes</w:t>
      </w:r>
      <w:proofErr w:type="spellEnd"/>
      <w:r>
        <w:t xml:space="preserve"> associated with a </w:t>
      </w:r>
      <w:proofErr w:type="spellStart"/>
      <w:r>
        <w:t>Nissl</w:t>
      </w:r>
      <w:proofErr w:type="spellEnd"/>
      <w:r>
        <w:t xml:space="preserve"> body. In two areas they are arranged in rows, spirals and rosette against the grey background that is the grazing section of the membrane (arrows). </w:t>
      </w:r>
    </w:p>
    <w:p w:rsidR="00D873BE" w:rsidRDefault="00D873BE" w:rsidP="00D873BE">
      <w:r>
        <w:t xml:space="preserve">Lower figure is from glandular cell that cuts tangentially to three </w:t>
      </w:r>
      <w:proofErr w:type="spellStart"/>
      <w:r>
        <w:t>cisternae</w:t>
      </w:r>
      <w:proofErr w:type="spellEnd"/>
      <w:r>
        <w:t xml:space="preserve">. There are long loops and spirals consisting of multiple </w:t>
      </w:r>
      <w:proofErr w:type="spellStart"/>
      <w:r>
        <w:t>ribosomes</w:t>
      </w:r>
      <w:proofErr w:type="spellEnd"/>
      <w:r>
        <w:t xml:space="preserve"> aligned on the same molecule of mRNA. The length of the message and the number of </w:t>
      </w:r>
      <w:proofErr w:type="spellStart"/>
      <w:r>
        <w:t>ribosomes</w:t>
      </w:r>
      <w:proofErr w:type="spellEnd"/>
      <w:r>
        <w:t xml:space="preserve"> translating it are related to the size of the polypeptide being synthesized.       Fawcett, </w:t>
      </w:r>
      <w:proofErr w:type="gramStart"/>
      <w:r w:rsidRPr="003C6A9D">
        <w:rPr>
          <w:u w:val="single"/>
        </w:rPr>
        <w:t>The</w:t>
      </w:r>
      <w:proofErr w:type="gramEnd"/>
      <w:r w:rsidRPr="003C6A9D">
        <w:rPr>
          <w:u w:val="single"/>
        </w:rPr>
        <w:t xml:space="preserve"> Cell</w:t>
      </w:r>
      <w:r>
        <w:t xml:space="preserve"> 1981</w:t>
      </w:r>
    </w:p>
    <w:p w:rsidR="00D873BE" w:rsidRDefault="00D873BE" w:rsidP="00D873BE">
      <w:r>
        <w:br w:type="page"/>
      </w:r>
      <w:r>
        <w:rPr>
          <w:noProof/>
        </w:rPr>
        <w:lastRenderedPageBreak/>
        <w:drawing>
          <wp:inline distT="0" distB="0" distL="0" distR="0">
            <wp:extent cx="5486400" cy="3657600"/>
            <wp:effectExtent l="19050" t="0" r="0" b="0"/>
            <wp:docPr id="235" name="Picture 235" descr="p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page15"/>
                    <pic:cNvPicPr>
                      <a:picLocks noChangeAspect="1" noChangeArrowheads="1"/>
                    </pic:cNvPicPr>
                  </pic:nvPicPr>
                  <pic:blipFill>
                    <a:blip r:embed="rId8"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D873BE" w:rsidRDefault="00D873BE" w:rsidP="00D873BE"/>
    <w:p w:rsidR="00D873BE" w:rsidRPr="00852904" w:rsidRDefault="00D873BE" w:rsidP="00D873BE">
      <w:pPr>
        <w:rPr>
          <w:b/>
        </w:rPr>
      </w:pPr>
      <w:r w:rsidRPr="00852904">
        <w:rPr>
          <w:b/>
        </w:rPr>
        <w:t>ROUGH ENDOPLASMIC RETICULUM      800X</w:t>
      </w:r>
    </w:p>
    <w:p w:rsidR="00D873BE" w:rsidRDefault="00D873BE" w:rsidP="00D873BE">
      <w:r>
        <w:t xml:space="preserve">This is a Light </w:t>
      </w:r>
      <w:proofErr w:type="spellStart"/>
      <w:r>
        <w:t>Microsopic</w:t>
      </w:r>
      <w:proofErr w:type="spellEnd"/>
      <w:r>
        <w:t xml:space="preserve"> view of </w:t>
      </w:r>
      <w:proofErr w:type="spellStart"/>
      <w:r>
        <w:t>multipolar</w:t>
      </w:r>
      <w:proofErr w:type="spellEnd"/>
      <w:r>
        <w:t xml:space="preserve"> neurons, </w:t>
      </w:r>
      <w:proofErr w:type="spellStart"/>
      <w:r>
        <w:t>Nissl</w:t>
      </w:r>
      <w:proofErr w:type="spellEnd"/>
      <w:r>
        <w:t xml:space="preserve"> stained, to </w:t>
      </w:r>
      <w:proofErr w:type="spellStart"/>
      <w:r>
        <w:t>viualize</w:t>
      </w:r>
      <w:proofErr w:type="spellEnd"/>
      <w:r>
        <w:t xml:space="preserve"> </w:t>
      </w:r>
      <w:proofErr w:type="spellStart"/>
      <w:r>
        <w:t>rER</w:t>
      </w:r>
      <w:proofErr w:type="spellEnd"/>
      <w:r>
        <w:t xml:space="preserve">. This stain is acidophilic and selectively binds to the </w:t>
      </w:r>
      <w:proofErr w:type="spellStart"/>
      <w:r>
        <w:t>rRNA</w:t>
      </w:r>
      <w:proofErr w:type="spellEnd"/>
      <w:r>
        <w:t xml:space="preserve"> in the </w:t>
      </w:r>
      <w:proofErr w:type="spellStart"/>
      <w:r>
        <w:t>ribosomes</w:t>
      </w:r>
      <w:proofErr w:type="spellEnd"/>
      <w:r>
        <w:t xml:space="preserve"> of the rough endoplasmic reticulum as well as to free </w:t>
      </w:r>
      <w:proofErr w:type="spellStart"/>
      <w:r>
        <w:t>polysomes</w:t>
      </w:r>
      <w:proofErr w:type="spellEnd"/>
      <w:r>
        <w:t xml:space="preserve"> (pink arrows). The dark-staining nucleolus is located in the center of the light-staining nucleus. The black arrows indicate the axon hillock of the cell.  </w:t>
      </w:r>
      <w:r>
        <w:br w:type="page"/>
      </w:r>
      <w:r>
        <w:rPr>
          <w:noProof/>
        </w:rPr>
        <w:lastRenderedPageBreak/>
        <w:drawing>
          <wp:inline distT="0" distB="0" distL="0" distR="0">
            <wp:extent cx="5486400" cy="3657600"/>
            <wp:effectExtent l="19050" t="0" r="0" b="0"/>
            <wp:docPr id="236" name="Picture 236" descr="p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page16"/>
                    <pic:cNvPicPr>
                      <a:picLocks noChangeAspect="1" noChangeArrowheads="1"/>
                    </pic:cNvPicPr>
                  </pic:nvPicPr>
                  <pic:blipFill>
                    <a:blip r:embed="rId9"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D873BE" w:rsidRPr="00F2271E" w:rsidRDefault="00D873BE" w:rsidP="00D873BE">
      <w:pPr>
        <w:rPr>
          <w:b/>
        </w:rPr>
      </w:pPr>
    </w:p>
    <w:p w:rsidR="00D873BE" w:rsidRPr="00F2271E" w:rsidRDefault="00D873BE" w:rsidP="00D873BE">
      <w:pPr>
        <w:rPr>
          <w:b/>
        </w:rPr>
      </w:pPr>
      <w:r w:rsidRPr="00F2271E">
        <w:rPr>
          <w:b/>
        </w:rPr>
        <w:t xml:space="preserve">ROUGH ENDOPLASMIC RETICULUM  </w:t>
      </w:r>
    </w:p>
    <w:p w:rsidR="00D873BE" w:rsidRDefault="00D873BE" w:rsidP="00D873BE">
      <w:r>
        <w:t xml:space="preserve">This EM shows the </w:t>
      </w:r>
      <w:proofErr w:type="spellStart"/>
      <w:r>
        <w:t>plasmalemmae</w:t>
      </w:r>
      <w:proofErr w:type="spellEnd"/>
      <w:r>
        <w:t xml:space="preserve"> (arrows) and </w:t>
      </w:r>
      <w:proofErr w:type="spellStart"/>
      <w:r>
        <w:t>rER</w:t>
      </w:r>
      <w:proofErr w:type="spellEnd"/>
      <w:r>
        <w:t xml:space="preserve"> of two adjacent pancreatic acinar cells. The double black lines in the center of the micrograph are the two cell membranes (red &amp; blue arrows) of adjacent cells. The interstitial space (</w:t>
      </w:r>
      <w:proofErr w:type="spellStart"/>
      <w:r>
        <w:t>ISSp</w:t>
      </w:r>
      <w:proofErr w:type="spellEnd"/>
      <w:r>
        <w:t xml:space="preserve">) is the narrow space between the cells. The cytoplasm of the cells is full of parallel </w:t>
      </w:r>
      <w:proofErr w:type="spellStart"/>
      <w:r>
        <w:t>cisternae</w:t>
      </w:r>
      <w:proofErr w:type="spellEnd"/>
      <w:r>
        <w:t xml:space="preserve"> (clear space) of ER with dark round </w:t>
      </w:r>
      <w:proofErr w:type="spellStart"/>
      <w:r>
        <w:t>ribosomes</w:t>
      </w:r>
      <w:proofErr w:type="spellEnd"/>
      <w:r>
        <w:t xml:space="preserve"> attached to their outer surface. Compare the thickness of the membranes of the </w:t>
      </w:r>
      <w:proofErr w:type="spellStart"/>
      <w:r>
        <w:t>rER</w:t>
      </w:r>
      <w:proofErr w:type="spellEnd"/>
      <w:r>
        <w:t xml:space="preserve"> with that of the </w:t>
      </w:r>
      <w:proofErr w:type="spellStart"/>
      <w:r>
        <w:t>plasmalema</w:t>
      </w:r>
      <w:proofErr w:type="spellEnd"/>
      <w:r>
        <w:t xml:space="preserve">.     Fawcett, </w:t>
      </w:r>
      <w:proofErr w:type="gramStart"/>
      <w:r w:rsidRPr="003C6A9D">
        <w:rPr>
          <w:u w:val="single"/>
        </w:rPr>
        <w:t>The</w:t>
      </w:r>
      <w:proofErr w:type="gramEnd"/>
      <w:r w:rsidRPr="003C6A9D">
        <w:rPr>
          <w:u w:val="single"/>
        </w:rPr>
        <w:t xml:space="preserve"> Cell</w:t>
      </w:r>
      <w:r>
        <w:t xml:space="preserve"> 1981</w:t>
      </w:r>
      <w:r>
        <w:br w:type="page"/>
      </w:r>
      <w:r>
        <w:rPr>
          <w:noProof/>
        </w:rPr>
        <w:lastRenderedPageBreak/>
        <w:drawing>
          <wp:inline distT="0" distB="0" distL="0" distR="0">
            <wp:extent cx="5486400" cy="3657600"/>
            <wp:effectExtent l="19050" t="0" r="0" b="0"/>
            <wp:docPr id="237" name="Picture 237" descr="p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page17"/>
                    <pic:cNvPicPr>
                      <a:picLocks noChangeAspect="1" noChangeArrowheads="1"/>
                    </pic:cNvPicPr>
                  </pic:nvPicPr>
                  <pic:blipFill>
                    <a:blip r:embed="rId10"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D873BE" w:rsidRPr="00C06373" w:rsidRDefault="00D873BE" w:rsidP="00D873BE">
      <w:pPr>
        <w:rPr>
          <w:b/>
        </w:rPr>
      </w:pPr>
    </w:p>
    <w:p w:rsidR="00D873BE" w:rsidRPr="00C06373" w:rsidRDefault="00D873BE" w:rsidP="00D873BE">
      <w:pPr>
        <w:rPr>
          <w:b/>
        </w:rPr>
      </w:pPr>
      <w:r w:rsidRPr="00C06373">
        <w:rPr>
          <w:b/>
        </w:rPr>
        <w:t>ROUGH ENDOPLASMIC RETICULUM</w:t>
      </w:r>
    </w:p>
    <w:p w:rsidR="00D873BE" w:rsidRDefault="00D873BE" w:rsidP="00D873BE">
      <w:r>
        <w:t xml:space="preserve">This cell, a plasma cell, contains large amounts of </w:t>
      </w:r>
      <w:proofErr w:type="spellStart"/>
      <w:r>
        <w:t>rER</w:t>
      </w:r>
      <w:proofErr w:type="spellEnd"/>
      <w:r>
        <w:t xml:space="preserve"> in the cytoplasm due to the production of </w:t>
      </w:r>
      <w:proofErr w:type="spellStart"/>
      <w:r>
        <w:t>immunoglobulins</w:t>
      </w:r>
      <w:proofErr w:type="spellEnd"/>
      <w:r>
        <w:t xml:space="preserve">. The </w:t>
      </w:r>
      <w:proofErr w:type="spellStart"/>
      <w:r>
        <w:t>cisternae</w:t>
      </w:r>
      <w:proofErr w:type="spellEnd"/>
      <w:r>
        <w:t xml:space="preserve"> are greatly distended with the </w:t>
      </w:r>
      <w:proofErr w:type="spellStart"/>
      <w:r>
        <w:t>immunogobulins</w:t>
      </w:r>
      <w:proofErr w:type="spellEnd"/>
      <w:r>
        <w:t xml:space="preserve">. The </w:t>
      </w:r>
      <w:proofErr w:type="spellStart"/>
      <w:r>
        <w:t>cisternal</w:t>
      </w:r>
      <w:proofErr w:type="spellEnd"/>
      <w:r>
        <w:t xml:space="preserve"> </w:t>
      </w:r>
      <w:proofErr w:type="gramStart"/>
      <w:r>
        <w:t>lumen are</w:t>
      </w:r>
      <w:proofErr w:type="gramEnd"/>
      <w:r>
        <w:t xml:space="preserve"> separated by only a narrow band of cytoplasm between. Note the dark-staining, round, </w:t>
      </w:r>
      <w:proofErr w:type="spellStart"/>
      <w:r>
        <w:t>ribosomes</w:t>
      </w:r>
      <w:proofErr w:type="spellEnd"/>
      <w:r>
        <w:t xml:space="preserve"> on the </w:t>
      </w:r>
      <w:r w:rsidRPr="00C06373">
        <w:rPr>
          <w:i/>
        </w:rPr>
        <w:t xml:space="preserve">outside </w:t>
      </w:r>
      <w:r>
        <w:t xml:space="preserve">of the </w:t>
      </w:r>
      <w:proofErr w:type="spellStart"/>
      <w:r>
        <w:t>cisternal</w:t>
      </w:r>
      <w:proofErr w:type="spellEnd"/>
      <w:r>
        <w:t xml:space="preserve"> membranes. Dark-staining mitochondria are present in the cytoplasm. The nucleus contains a large centrally-located nucleolus as well as heterochromatin located at the periphery by the nuclear envelope.       Fawcett, </w:t>
      </w:r>
      <w:proofErr w:type="gramStart"/>
      <w:r w:rsidRPr="003C6A9D">
        <w:rPr>
          <w:u w:val="single"/>
        </w:rPr>
        <w:t>The</w:t>
      </w:r>
      <w:proofErr w:type="gramEnd"/>
      <w:r w:rsidRPr="003C6A9D">
        <w:rPr>
          <w:u w:val="single"/>
        </w:rPr>
        <w:t xml:space="preserve"> Cell</w:t>
      </w:r>
      <w:r>
        <w:t xml:space="preserve"> 1981</w:t>
      </w:r>
      <w:r>
        <w:br w:type="page"/>
      </w:r>
      <w:r>
        <w:rPr>
          <w:noProof/>
        </w:rPr>
        <w:lastRenderedPageBreak/>
        <w:drawing>
          <wp:inline distT="0" distB="0" distL="0" distR="0">
            <wp:extent cx="5486400" cy="3657600"/>
            <wp:effectExtent l="19050" t="0" r="0" b="0"/>
            <wp:docPr id="238" name="Picture 238" descr="p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page18"/>
                    <pic:cNvPicPr>
                      <a:picLocks noChangeAspect="1" noChangeArrowheads="1"/>
                    </pic:cNvPicPr>
                  </pic:nvPicPr>
                  <pic:blipFill>
                    <a:blip r:embed="rId11"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D873BE" w:rsidRDefault="00D873BE" w:rsidP="00D873BE"/>
    <w:p w:rsidR="00D873BE" w:rsidRPr="007F39F5" w:rsidRDefault="00D873BE" w:rsidP="00D873BE">
      <w:pPr>
        <w:rPr>
          <w:b/>
        </w:rPr>
      </w:pPr>
      <w:r w:rsidRPr="007F39F5">
        <w:rPr>
          <w:b/>
        </w:rPr>
        <w:t>GOLGI APPARATUS IN GANGLION NEURON</w:t>
      </w:r>
      <w:r>
        <w:rPr>
          <w:b/>
        </w:rPr>
        <w:t>S</w:t>
      </w:r>
      <w:r w:rsidRPr="007F39F5">
        <w:rPr>
          <w:b/>
        </w:rPr>
        <w:t xml:space="preserve">    800X</w:t>
      </w:r>
    </w:p>
    <w:p w:rsidR="00D873BE" w:rsidRDefault="00D873BE" w:rsidP="00D873BE">
      <w:r>
        <w:t xml:space="preserve">This micrograph demonstrates the neurons located in the dorsal root ganglion. A silver solution selectively stains the Golgi </w:t>
      </w:r>
      <w:proofErr w:type="spellStart"/>
      <w:r>
        <w:t>Apparati</w:t>
      </w:r>
      <w:proofErr w:type="spellEnd"/>
      <w:r>
        <w:t xml:space="preserve"> within the nerve cell body. In the center of the micrograph are three neurons with prominent Golgi present. For orientation, the nuclei are light in appearance (negatively stained) and the Golgi </w:t>
      </w:r>
      <w:proofErr w:type="gramStart"/>
      <w:r>
        <w:t>are</w:t>
      </w:r>
      <w:proofErr w:type="gramEnd"/>
      <w:r>
        <w:t xml:space="preserve"> the crescent shaped dark objects (black arrows) in the cytoplasm that are arranged around the nucleus.  </w:t>
      </w:r>
    </w:p>
    <w:p w:rsidR="00D873BE" w:rsidRDefault="00D873BE" w:rsidP="00D873BE"/>
    <w:p w:rsidR="00D873BE" w:rsidRDefault="00D873BE" w:rsidP="00D873BE">
      <w:pPr>
        <w:ind w:left="720"/>
      </w:pPr>
      <w:r>
        <w:br w:type="page"/>
      </w:r>
      <w:r>
        <w:rPr>
          <w:noProof/>
        </w:rPr>
        <w:lastRenderedPageBreak/>
        <w:drawing>
          <wp:inline distT="0" distB="0" distL="0" distR="0">
            <wp:extent cx="4524375" cy="5829300"/>
            <wp:effectExtent l="19050" t="0" r="9525" b="0"/>
            <wp:docPr id="239" name="Picture 239" descr="Crissma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rissman 1"/>
                    <pic:cNvPicPr>
                      <a:picLocks noChangeAspect="1" noChangeArrowheads="1"/>
                    </pic:cNvPicPr>
                  </pic:nvPicPr>
                  <pic:blipFill>
                    <a:blip r:embed="rId12" cstate="print"/>
                    <a:srcRect l="2083" t="3302" r="4167" b="963"/>
                    <a:stretch>
                      <a:fillRect/>
                    </a:stretch>
                  </pic:blipFill>
                  <pic:spPr bwMode="auto">
                    <a:xfrm>
                      <a:off x="0" y="0"/>
                      <a:ext cx="4524375" cy="5829300"/>
                    </a:xfrm>
                    <a:prstGeom prst="rect">
                      <a:avLst/>
                    </a:prstGeom>
                    <a:noFill/>
                    <a:ln w="9525">
                      <a:noFill/>
                      <a:miter lim="800000"/>
                      <a:headEnd/>
                      <a:tailEnd/>
                    </a:ln>
                  </pic:spPr>
                </pic:pic>
              </a:graphicData>
            </a:graphic>
          </wp:inline>
        </w:drawing>
      </w:r>
    </w:p>
    <w:p w:rsidR="00D873BE" w:rsidRPr="007D6E11" w:rsidRDefault="00D873BE" w:rsidP="00D873BE">
      <w:pPr>
        <w:rPr>
          <w:b/>
        </w:rPr>
      </w:pPr>
    </w:p>
    <w:p w:rsidR="00D873BE" w:rsidRPr="007D6E11" w:rsidRDefault="00D873BE" w:rsidP="00D873BE">
      <w:pPr>
        <w:rPr>
          <w:b/>
        </w:rPr>
      </w:pPr>
      <w:r w:rsidRPr="007D6E11">
        <w:rPr>
          <w:b/>
        </w:rPr>
        <w:t>GOLGI APPARATUS</w:t>
      </w:r>
    </w:p>
    <w:p w:rsidR="00D873BE" w:rsidRDefault="00D873BE" w:rsidP="00D873BE">
      <w:proofErr w:type="gramStart"/>
      <w:r>
        <w:t>Two electron micrographs of Golgi apparatus at high magnification.</w:t>
      </w:r>
      <w:proofErr w:type="gramEnd"/>
      <w:r>
        <w:t xml:space="preserve"> The crescent shaped organelle is composed of numerous curved </w:t>
      </w:r>
      <w:proofErr w:type="spellStart"/>
      <w:r>
        <w:t>cisternae</w:t>
      </w:r>
      <w:proofErr w:type="spellEnd"/>
      <w:r>
        <w:t xml:space="preserve"> with vesicles arriving from the </w:t>
      </w:r>
      <w:proofErr w:type="spellStart"/>
      <w:r>
        <w:t>rER</w:t>
      </w:r>
      <w:proofErr w:type="spellEnd"/>
      <w:r>
        <w:t xml:space="preserve"> on the convex (</w:t>
      </w:r>
      <w:proofErr w:type="spellStart"/>
      <w:r>
        <w:t>cis</w:t>
      </w:r>
      <w:proofErr w:type="spellEnd"/>
      <w:r>
        <w:t>) side and secretory vesicles departing from the concave (</w:t>
      </w:r>
      <w:proofErr w:type="gramStart"/>
      <w:r>
        <w:t>trans</w:t>
      </w:r>
      <w:proofErr w:type="gramEnd"/>
      <w:r>
        <w:t xml:space="preserve">) side.      Fawcett, </w:t>
      </w:r>
      <w:proofErr w:type="gramStart"/>
      <w:r w:rsidRPr="003C6A9D">
        <w:rPr>
          <w:u w:val="single"/>
        </w:rPr>
        <w:t>The</w:t>
      </w:r>
      <w:proofErr w:type="gramEnd"/>
      <w:r w:rsidRPr="003C6A9D">
        <w:rPr>
          <w:u w:val="single"/>
        </w:rPr>
        <w:t xml:space="preserve"> Cell</w:t>
      </w:r>
      <w:r>
        <w:t xml:space="preserve"> 1981</w:t>
      </w:r>
    </w:p>
    <w:p w:rsidR="00D873BE" w:rsidRDefault="00D873BE" w:rsidP="00D873BE">
      <w:pPr>
        <w:ind w:left="720"/>
      </w:pPr>
      <w:r>
        <w:br w:type="page"/>
      </w:r>
      <w:r>
        <w:rPr>
          <w:noProof/>
        </w:rPr>
        <w:lastRenderedPageBreak/>
        <w:drawing>
          <wp:inline distT="0" distB="0" distL="0" distR="0">
            <wp:extent cx="4314825" cy="6057900"/>
            <wp:effectExtent l="19050" t="0" r="9525" b="0"/>
            <wp:docPr id="240" name="Picture 240" descr="Crissma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rissman 2"/>
                    <pic:cNvPicPr>
                      <a:picLocks noChangeAspect="1" noChangeArrowheads="1"/>
                    </pic:cNvPicPr>
                  </pic:nvPicPr>
                  <pic:blipFill>
                    <a:blip r:embed="rId13" cstate="print"/>
                    <a:srcRect/>
                    <a:stretch>
                      <a:fillRect/>
                    </a:stretch>
                  </pic:blipFill>
                  <pic:spPr bwMode="auto">
                    <a:xfrm>
                      <a:off x="0" y="0"/>
                      <a:ext cx="4314825" cy="6057900"/>
                    </a:xfrm>
                    <a:prstGeom prst="rect">
                      <a:avLst/>
                    </a:prstGeom>
                    <a:noFill/>
                    <a:ln w="9525">
                      <a:noFill/>
                      <a:miter lim="800000"/>
                      <a:headEnd/>
                      <a:tailEnd/>
                    </a:ln>
                  </pic:spPr>
                </pic:pic>
              </a:graphicData>
            </a:graphic>
          </wp:inline>
        </w:drawing>
      </w:r>
    </w:p>
    <w:p w:rsidR="00D873BE" w:rsidRDefault="00D873BE" w:rsidP="00D873BE"/>
    <w:p w:rsidR="00D873BE" w:rsidRPr="007D6E11" w:rsidRDefault="00D873BE" w:rsidP="00D873BE">
      <w:pPr>
        <w:rPr>
          <w:b/>
        </w:rPr>
      </w:pPr>
      <w:r w:rsidRPr="007D6E11">
        <w:rPr>
          <w:b/>
        </w:rPr>
        <w:t>GOLGI APPARATUS</w:t>
      </w:r>
    </w:p>
    <w:p w:rsidR="00D873BE" w:rsidRDefault="00D873BE" w:rsidP="00D873BE">
      <w:r>
        <w:t xml:space="preserve">The upper micrograph is a freeze fracture image of a Golgi apparatus like that in the lower transmission electron micrograph. Vesicles can be observed surrounding the parallel </w:t>
      </w:r>
      <w:proofErr w:type="spellStart"/>
      <w:r>
        <w:t>cisternae</w:t>
      </w:r>
      <w:proofErr w:type="spellEnd"/>
      <w:r>
        <w:t xml:space="preserve"> in both micrographs. </w:t>
      </w:r>
    </w:p>
    <w:p w:rsidR="00D873BE" w:rsidRDefault="00D873BE" w:rsidP="00D873BE">
      <w:r>
        <w:br w:type="page"/>
      </w:r>
      <w:r>
        <w:rPr>
          <w:noProof/>
        </w:rPr>
        <w:lastRenderedPageBreak/>
        <w:drawing>
          <wp:inline distT="0" distB="0" distL="0" distR="0">
            <wp:extent cx="5486400" cy="3657600"/>
            <wp:effectExtent l="19050" t="0" r="0" b="0"/>
            <wp:docPr id="241" name="Picture 241" descr="p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page19"/>
                    <pic:cNvPicPr>
                      <a:picLocks noChangeAspect="1" noChangeArrowheads="1"/>
                    </pic:cNvPicPr>
                  </pic:nvPicPr>
                  <pic:blipFill>
                    <a:blip r:embed="rId14"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D873BE" w:rsidRDefault="00D873BE" w:rsidP="00D873BE">
      <w:r>
        <w:rPr>
          <w:noProof/>
        </w:rPr>
        <w:pict>
          <v:line id="_x0000_s1027" style="position:absolute;flip:y;z-index:251660288" from="2in,-162pt" to="171pt,-117pt" strokeweight="4.5pt">
            <v:stroke endarrow="block"/>
          </v:line>
        </w:pict>
      </w:r>
    </w:p>
    <w:p w:rsidR="00D873BE" w:rsidRPr="00A64FA5" w:rsidRDefault="00D873BE" w:rsidP="00D873BE">
      <w:pPr>
        <w:rPr>
          <w:b/>
        </w:rPr>
      </w:pPr>
      <w:r w:rsidRPr="00A64FA5">
        <w:rPr>
          <w:b/>
        </w:rPr>
        <w:t xml:space="preserve">SECRETORY CELLS OF EXOCRINE PANCREAS  </w:t>
      </w:r>
    </w:p>
    <w:p w:rsidR="00D873BE" w:rsidRDefault="00D873BE" w:rsidP="00D873BE">
      <w:r>
        <w:t xml:space="preserve">Look for the parallel </w:t>
      </w:r>
      <w:proofErr w:type="spellStart"/>
      <w:r>
        <w:t>cisterna</w:t>
      </w:r>
      <w:proofErr w:type="spellEnd"/>
      <w:r>
        <w:t xml:space="preserve"> of the </w:t>
      </w:r>
      <w:proofErr w:type="spellStart"/>
      <w:r>
        <w:t>rER</w:t>
      </w:r>
      <w:proofErr w:type="spellEnd"/>
      <w:r>
        <w:t xml:space="preserve">, (yellow circles), basally located nucleus, and dark-staining, round, secretory vesicles, aka </w:t>
      </w:r>
      <w:proofErr w:type="spellStart"/>
      <w:r>
        <w:t>zymogen</w:t>
      </w:r>
      <w:proofErr w:type="spellEnd"/>
      <w:r>
        <w:t xml:space="preserve"> granules (SV green arrows). The </w:t>
      </w:r>
      <w:proofErr w:type="gramStart"/>
      <w:r>
        <w:t xml:space="preserve">light staining Golgi </w:t>
      </w:r>
      <w:proofErr w:type="spellStart"/>
      <w:r>
        <w:t>Apparati</w:t>
      </w:r>
      <w:proofErr w:type="spellEnd"/>
      <w:r>
        <w:t xml:space="preserve"> (black arrow) are</w:t>
      </w:r>
      <w:proofErr w:type="gramEnd"/>
      <w:r>
        <w:t xml:space="preserve"> generally found between the secretory vesicles and the nucleus. The lumen (L) of the glandular </w:t>
      </w:r>
      <w:proofErr w:type="spellStart"/>
      <w:r>
        <w:t>acinus</w:t>
      </w:r>
      <w:proofErr w:type="spellEnd"/>
      <w:r>
        <w:t xml:space="preserve"> is filled with </w:t>
      </w:r>
      <w:proofErr w:type="spellStart"/>
      <w:r>
        <w:t>microvilli</w:t>
      </w:r>
      <w:proofErr w:type="spellEnd"/>
      <w:r>
        <w:t>.  - Dr. Colin Budd</w:t>
      </w:r>
    </w:p>
    <w:p w:rsidR="00D873BE" w:rsidRDefault="00D873BE" w:rsidP="00D873BE"/>
    <w:p w:rsidR="00D873BE" w:rsidRPr="00A50332" w:rsidRDefault="00D873BE" w:rsidP="00D873BE"/>
    <w:p w:rsidR="005D1C45" w:rsidRPr="00D873BE" w:rsidRDefault="005D1C45" w:rsidP="00D873BE"/>
    <w:sectPr w:rsidR="005D1C45" w:rsidRPr="00D873BE">
      <w:pgSz w:w="12240" w:h="15840"/>
      <w:pgMar w:top="1440" w:right="1800" w:bottom="1440" w:left="180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D873BE"/>
    <w:rsid w:val="005D1C45"/>
    <w:rsid w:val="00D873B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73B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873BE"/>
    <w:rPr>
      <w:rFonts w:ascii="Tahoma" w:hAnsi="Tahoma" w:cs="Tahoma"/>
      <w:sz w:val="16"/>
      <w:szCs w:val="16"/>
    </w:rPr>
  </w:style>
  <w:style w:type="character" w:customStyle="1" w:styleId="BalloonTextChar">
    <w:name w:val="Balloon Text Char"/>
    <w:basedOn w:val="DefaultParagraphFont"/>
    <w:link w:val="BalloonText"/>
    <w:uiPriority w:val="99"/>
    <w:semiHidden/>
    <w:rsid w:val="00D873BE"/>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651</Words>
  <Characters>3716</Characters>
  <Application>Microsoft Office Word</Application>
  <DocSecurity>0</DocSecurity>
  <Lines>30</Lines>
  <Paragraphs>8</Paragraphs>
  <ScaleCrop>false</ScaleCrop>
  <Company>Grizli777</Company>
  <LinksUpToDate>false</LinksUpToDate>
  <CharactersWithSpaces>4359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1</cp:revision>
  <dcterms:created xsi:type="dcterms:W3CDTF">2011-08-24T23:00:00Z</dcterms:created>
  <dcterms:modified xsi:type="dcterms:W3CDTF">2011-08-24T23:03:00Z</dcterms:modified>
</cp:coreProperties>
</file>